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27626" w14:textId="77777777" w:rsidR="00D359D6" w:rsidRPr="003C09B8" w:rsidRDefault="00D359D6" w:rsidP="00D359D6">
      <w:pPr>
        <w:spacing w:after="0" w:line="240" w:lineRule="auto"/>
        <w:jc w:val="right"/>
        <w:rPr>
          <w:rFonts w:ascii="Times New Roman" w:hAnsi="Times New Roman" w:cs="Times New Roman"/>
          <w:szCs w:val="24"/>
        </w:rPr>
      </w:pPr>
      <w:r w:rsidRPr="003C09B8">
        <w:rPr>
          <w:rFonts w:ascii="Times New Roman" w:hAnsi="Times New Roman" w:cs="Times New Roman"/>
          <w:szCs w:val="24"/>
        </w:rPr>
        <w:t xml:space="preserve">Äriseadustiku muutmise ja sellega seonduvalt </w:t>
      </w:r>
    </w:p>
    <w:p w14:paraId="389B5244" w14:textId="6EDAA047" w:rsidR="00D359D6" w:rsidRPr="003C09B8" w:rsidRDefault="00D359D6" w:rsidP="00D359D6">
      <w:pPr>
        <w:spacing w:after="0" w:line="240" w:lineRule="auto"/>
        <w:jc w:val="right"/>
        <w:rPr>
          <w:rFonts w:ascii="Times New Roman" w:hAnsi="Times New Roman" w:cs="Times New Roman"/>
          <w:szCs w:val="24"/>
        </w:rPr>
      </w:pPr>
      <w:r w:rsidRPr="003C09B8">
        <w:rPr>
          <w:rFonts w:ascii="Times New Roman" w:hAnsi="Times New Roman" w:cs="Times New Roman"/>
          <w:szCs w:val="24"/>
        </w:rPr>
        <w:t>teiste seaduste muutmise seadus</w:t>
      </w:r>
      <w:r w:rsidR="00A91FDC">
        <w:rPr>
          <w:rFonts w:ascii="Times New Roman" w:hAnsi="Times New Roman" w:cs="Times New Roman"/>
          <w:szCs w:val="24"/>
        </w:rPr>
        <w:t>e eelnõu seletuskirja juurde</w:t>
      </w:r>
    </w:p>
    <w:p w14:paraId="39AFD8F7" w14:textId="6CA06C2F" w:rsidR="00D359D6" w:rsidRPr="00A91FDC" w:rsidRDefault="00A91FDC" w:rsidP="00D359D6">
      <w:pPr>
        <w:spacing w:after="0" w:line="240" w:lineRule="auto"/>
        <w:jc w:val="right"/>
        <w:rPr>
          <w:rFonts w:ascii="Times New Roman" w:hAnsi="Times New Roman" w:cs="Times New Roman"/>
          <w:szCs w:val="24"/>
        </w:rPr>
      </w:pPr>
      <w:r w:rsidRPr="00A91FDC">
        <w:rPr>
          <w:rFonts w:ascii="Times New Roman" w:hAnsi="Times New Roman" w:cs="Times New Roman"/>
          <w:szCs w:val="24"/>
        </w:rPr>
        <w:t>Lisa 2</w:t>
      </w:r>
    </w:p>
    <w:p w14:paraId="2A23428A" w14:textId="77777777" w:rsidR="00D359D6" w:rsidRPr="003C09B8" w:rsidRDefault="00D359D6" w:rsidP="00D359D6">
      <w:pPr>
        <w:spacing w:after="0" w:line="240" w:lineRule="auto"/>
        <w:jc w:val="right"/>
        <w:rPr>
          <w:rFonts w:ascii="Times New Roman" w:hAnsi="Times New Roman" w:cs="Times New Roman"/>
          <w:szCs w:val="24"/>
        </w:rPr>
      </w:pPr>
    </w:p>
    <w:p w14:paraId="25BC7490" w14:textId="77777777" w:rsidR="00D359D6" w:rsidRPr="003C09B8" w:rsidRDefault="00D359D6" w:rsidP="00D359D6">
      <w:pPr>
        <w:spacing w:after="0" w:line="240" w:lineRule="auto"/>
        <w:rPr>
          <w:rFonts w:ascii="Times New Roman" w:hAnsi="Times New Roman" w:cs="Times New Roman"/>
          <w:szCs w:val="24"/>
        </w:rPr>
      </w:pPr>
    </w:p>
    <w:p w14:paraId="49D07647" w14:textId="77777777" w:rsidR="00D359D6" w:rsidRPr="003C09B8" w:rsidRDefault="00D359D6" w:rsidP="00D359D6">
      <w:pPr>
        <w:suppressAutoHyphens/>
        <w:spacing w:after="0" w:line="100" w:lineRule="atLeast"/>
        <w:jc w:val="center"/>
        <w:rPr>
          <w:rFonts w:ascii="Times New Roman" w:eastAsia="Arial Unicode MS" w:hAnsi="Times New Roman" w:cs="Times New Roman"/>
          <w:b/>
          <w:bCs/>
          <w:color w:val="00000A"/>
          <w:szCs w:val="24"/>
          <w:lang w:eastAsia="ar-SA"/>
        </w:rPr>
      </w:pPr>
      <w:r w:rsidRPr="003C09B8">
        <w:rPr>
          <w:rFonts w:ascii="Times New Roman" w:eastAsia="Arial Unicode MS" w:hAnsi="Times New Roman" w:cs="Times New Roman"/>
          <w:b/>
          <w:bCs/>
          <w:color w:val="00000A"/>
          <w:szCs w:val="24"/>
          <w:lang w:eastAsia="ar-SA"/>
        </w:rPr>
        <w:t>Märkuste ja ettepanekute tabel</w:t>
      </w:r>
    </w:p>
    <w:p w14:paraId="5D5663F3" w14:textId="77777777" w:rsidR="00D359D6" w:rsidRPr="003C09B8" w:rsidRDefault="00D359D6" w:rsidP="00D359D6">
      <w:pPr>
        <w:spacing w:after="0" w:line="240" w:lineRule="auto"/>
        <w:rPr>
          <w:rFonts w:ascii="Times New Roman" w:hAnsi="Times New Roman" w:cs="Times New Roman"/>
          <w:szCs w:val="24"/>
        </w:rPr>
      </w:pPr>
    </w:p>
    <w:p w14:paraId="5645392B" w14:textId="77777777" w:rsidR="00D359D6" w:rsidRPr="003C09B8" w:rsidRDefault="00D359D6" w:rsidP="00D359D6">
      <w:pPr>
        <w:spacing w:after="0" w:line="240" w:lineRule="auto"/>
        <w:rPr>
          <w:rFonts w:ascii="Times New Roman" w:hAnsi="Times New Roman" w:cs="Times New Roman"/>
          <w:szCs w:val="24"/>
        </w:rPr>
      </w:pPr>
    </w:p>
    <w:tbl>
      <w:tblPr>
        <w:tblStyle w:val="Kontuurtabel"/>
        <w:tblW w:w="9067" w:type="dxa"/>
        <w:tblLayout w:type="fixed"/>
        <w:tblLook w:val="04A0" w:firstRow="1" w:lastRow="0" w:firstColumn="1" w:lastColumn="0" w:noHBand="0" w:noVBand="1"/>
      </w:tblPr>
      <w:tblGrid>
        <w:gridCol w:w="562"/>
        <w:gridCol w:w="5103"/>
        <w:gridCol w:w="3402"/>
      </w:tblGrid>
      <w:tr w:rsidR="00D359D6" w:rsidRPr="003C09B8" w14:paraId="000CC49A" w14:textId="77777777" w:rsidTr="00E2664A">
        <w:tc>
          <w:tcPr>
            <w:tcW w:w="562" w:type="dxa"/>
            <w:tcBorders>
              <w:top w:val="single" w:sz="4" w:space="0" w:color="auto"/>
              <w:left w:val="single" w:sz="4" w:space="0" w:color="auto"/>
              <w:bottom w:val="single" w:sz="4" w:space="0" w:color="auto"/>
              <w:right w:val="single" w:sz="4" w:space="0" w:color="auto"/>
            </w:tcBorders>
            <w:hideMark/>
          </w:tcPr>
          <w:p w14:paraId="38AF02EF"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Nr</w:t>
            </w:r>
          </w:p>
        </w:tc>
        <w:tc>
          <w:tcPr>
            <w:tcW w:w="5103" w:type="dxa"/>
            <w:tcBorders>
              <w:top w:val="single" w:sz="4" w:space="0" w:color="auto"/>
              <w:left w:val="single" w:sz="4" w:space="0" w:color="auto"/>
              <w:bottom w:val="single" w:sz="4" w:space="0" w:color="auto"/>
              <w:right w:val="single" w:sz="4" w:space="0" w:color="auto"/>
            </w:tcBorders>
            <w:hideMark/>
          </w:tcPr>
          <w:p w14:paraId="2D105C46"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Ettepaneku/märkuse sisu</w:t>
            </w:r>
          </w:p>
        </w:tc>
        <w:tc>
          <w:tcPr>
            <w:tcW w:w="3402" w:type="dxa"/>
            <w:tcBorders>
              <w:top w:val="single" w:sz="4" w:space="0" w:color="auto"/>
              <w:left w:val="single" w:sz="4" w:space="0" w:color="auto"/>
              <w:bottom w:val="single" w:sz="4" w:space="0" w:color="auto"/>
              <w:right w:val="single" w:sz="4" w:space="0" w:color="auto"/>
            </w:tcBorders>
            <w:hideMark/>
          </w:tcPr>
          <w:p w14:paraId="67B0ADE9"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JDM seisukohad/vastused</w:t>
            </w:r>
          </w:p>
        </w:tc>
      </w:tr>
      <w:tr w:rsidR="00D359D6" w:rsidRPr="003C09B8" w14:paraId="5180CC09" w14:textId="77777777" w:rsidTr="00E2664A">
        <w:tc>
          <w:tcPr>
            <w:tcW w:w="562" w:type="dxa"/>
            <w:tcBorders>
              <w:top w:val="single" w:sz="4" w:space="0" w:color="auto"/>
              <w:left w:val="single" w:sz="4" w:space="0" w:color="auto"/>
              <w:bottom w:val="single" w:sz="4" w:space="0" w:color="auto"/>
              <w:right w:val="single" w:sz="4" w:space="0" w:color="auto"/>
            </w:tcBorders>
          </w:tcPr>
          <w:p w14:paraId="04DEEC37" w14:textId="77777777" w:rsidR="00D359D6" w:rsidRPr="003C09B8" w:rsidRDefault="00D359D6" w:rsidP="00E2664A">
            <w:pPr>
              <w:rPr>
                <w:rFonts w:ascii="Times New Roman" w:hAnsi="Times New Roman"/>
                <w:b/>
                <w:b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718AA28"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Finantsinspektsioon</w:t>
            </w:r>
          </w:p>
        </w:tc>
        <w:tc>
          <w:tcPr>
            <w:tcW w:w="3402" w:type="dxa"/>
            <w:tcBorders>
              <w:top w:val="single" w:sz="4" w:space="0" w:color="auto"/>
              <w:left w:val="single" w:sz="4" w:space="0" w:color="auto"/>
              <w:bottom w:val="single" w:sz="4" w:space="0" w:color="auto"/>
              <w:right w:val="single" w:sz="4" w:space="0" w:color="auto"/>
            </w:tcBorders>
          </w:tcPr>
          <w:p w14:paraId="0844C687" w14:textId="77777777" w:rsidR="00D359D6" w:rsidRPr="003C09B8" w:rsidRDefault="00D359D6" w:rsidP="00E2664A">
            <w:pPr>
              <w:rPr>
                <w:rFonts w:ascii="Times New Roman" w:hAnsi="Times New Roman"/>
                <w:b/>
                <w:bCs/>
                <w:sz w:val="24"/>
                <w:szCs w:val="24"/>
              </w:rPr>
            </w:pPr>
          </w:p>
        </w:tc>
      </w:tr>
      <w:tr w:rsidR="00D359D6" w:rsidRPr="003C09B8" w14:paraId="1BD87F41" w14:textId="77777777" w:rsidTr="00E2664A">
        <w:tc>
          <w:tcPr>
            <w:tcW w:w="562" w:type="dxa"/>
            <w:tcBorders>
              <w:top w:val="single" w:sz="4" w:space="0" w:color="auto"/>
              <w:left w:val="single" w:sz="4" w:space="0" w:color="auto"/>
              <w:bottom w:val="single" w:sz="4" w:space="0" w:color="auto"/>
              <w:right w:val="single" w:sz="4" w:space="0" w:color="auto"/>
            </w:tcBorders>
          </w:tcPr>
          <w:p w14:paraId="55204870"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5287E25A"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 xml:space="preserve">Selgitame, et meie hinnangul tuleks vähemalt eelnõu seletuskirjas käsitleda, kuidas plaanitud </w:t>
            </w:r>
          </w:p>
          <w:p w14:paraId="42038597"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 xml:space="preserve">muudatus mõjutab omandi ja kontrolli tuvastamist, muu hulgas rahapesu tõkestamise raames </w:t>
            </w:r>
          </w:p>
          <w:p w14:paraId="1C28C51A"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kohaldatavaid hoolsusmeetmeid ja finantssanktsioonide kohaldamist. Muus osas Finantsinspektsioonil eelnõule täiendusi või parandusi ei ole.</w:t>
            </w:r>
          </w:p>
        </w:tc>
        <w:tc>
          <w:tcPr>
            <w:tcW w:w="3402" w:type="dxa"/>
            <w:tcBorders>
              <w:top w:val="single" w:sz="4" w:space="0" w:color="auto"/>
              <w:left w:val="single" w:sz="4" w:space="0" w:color="auto"/>
              <w:bottom w:val="single" w:sz="4" w:space="0" w:color="auto"/>
              <w:right w:val="single" w:sz="4" w:space="0" w:color="auto"/>
            </w:tcBorders>
          </w:tcPr>
          <w:p w14:paraId="631E48B7" w14:textId="77777777" w:rsidR="00D359D6" w:rsidRPr="003C09B8" w:rsidRDefault="00D359D6" w:rsidP="00E2664A">
            <w:pPr>
              <w:rPr>
                <w:rFonts w:ascii="Times New Roman" w:hAnsi="Times New Roman"/>
                <w:sz w:val="24"/>
                <w:szCs w:val="24"/>
                <w:highlight w:val="yellow"/>
              </w:rPr>
            </w:pPr>
            <w:r w:rsidRPr="003C09B8">
              <w:rPr>
                <w:rFonts w:ascii="Times New Roman" w:hAnsi="Times New Roman"/>
                <w:sz w:val="24"/>
                <w:szCs w:val="24"/>
              </w:rPr>
              <w:t>Seletuskirja on täiendatud.</w:t>
            </w:r>
          </w:p>
        </w:tc>
      </w:tr>
      <w:tr w:rsidR="00D359D6" w:rsidRPr="003C09B8" w14:paraId="6DA77F09" w14:textId="77777777" w:rsidTr="00E2664A">
        <w:tc>
          <w:tcPr>
            <w:tcW w:w="562" w:type="dxa"/>
            <w:tcBorders>
              <w:top w:val="single" w:sz="4" w:space="0" w:color="auto"/>
              <w:left w:val="single" w:sz="4" w:space="0" w:color="auto"/>
              <w:bottom w:val="single" w:sz="4" w:space="0" w:color="auto"/>
              <w:right w:val="single" w:sz="4" w:space="0" w:color="auto"/>
            </w:tcBorders>
          </w:tcPr>
          <w:p w14:paraId="5B96B43B" w14:textId="77777777" w:rsidR="00D359D6" w:rsidRPr="003C09B8" w:rsidRDefault="00D359D6" w:rsidP="00E2664A">
            <w:pPr>
              <w:rPr>
                <w:rFonts w:ascii="Times New Roman" w:hAnsi="Times New Roman"/>
                <w:b/>
                <w:b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F8D308C"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Advokatuuri äriõiguse komisjon</w:t>
            </w:r>
          </w:p>
        </w:tc>
        <w:tc>
          <w:tcPr>
            <w:tcW w:w="3402" w:type="dxa"/>
            <w:tcBorders>
              <w:top w:val="single" w:sz="4" w:space="0" w:color="auto"/>
              <w:left w:val="single" w:sz="4" w:space="0" w:color="auto"/>
              <w:bottom w:val="single" w:sz="4" w:space="0" w:color="auto"/>
              <w:right w:val="single" w:sz="4" w:space="0" w:color="auto"/>
            </w:tcBorders>
          </w:tcPr>
          <w:p w14:paraId="268C4107" w14:textId="77777777" w:rsidR="00D359D6" w:rsidRPr="003C09B8" w:rsidRDefault="00D359D6" w:rsidP="00E2664A">
            <w:pPr>
              <w:rPr>
                <w:rFonts w:ascii="Times New Roman" w:hAnsi="Times New Roman"/>
                <w:b/>
                <w:bCs/>
                <w:sz w:val="24"/>
                <w:szCs w:val="24"/>
              </w:rPr>
            </w:pPr>
          </w:p>
        </w:tc>
      </w:tr>
      <w:tr w:rsidR="00D359D6" w:rsidRPr="003C09B8" w14:paraId="58C2344D" w14:textId="77777777" w:rsidTr="00E2664A">
        <w:tc>
          <w:tcPr>
            <w:tcW w:w="562" w:type="dxa"/>
            <w:tcBorders>
              <w:top w:val="single" w:sz="4" w:space="0" w:color="auto"/>
              <w:left w:val="single" w:sz="4" w:space="0" w:color="auto"/>
              <w:bottom w:val="single" w:sz="4" w:space="0" w:color="auto"/>
              <w:right w:val="single" w:sz="4" w:space="0" w:color="auto"/>
            </w:tcBorders>
          </w:tcPr>
          <w:p w14:paraId="4DC15FC6"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0E84112A"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Advokatuuri äriõiguse komisjon tänab võimaluse eest esitada seisukohad raamatupidamise seaduse, väärtpaberituru seaduse ja äriseadustiku muutmise seaduse eelnõu kohta.</w:t>
            </w:r>
            <w:r>
              <w:rPr>
                <w:rFonts w:ascii="Times New Roman" w:hAnsi="Times New Roman"/>
                <w:sz w:val="24"/>
                <w:szCs w:val="24"/>
              </w:rPr>
              <w:t xml:space="preserve"> </w:t>
            </w:r>
            <w:r w:rsidRPr="003C09B8">
              <w:rPr>
                <w:rFonts w:ascii="Times New Roman" w:hAnsi="Times New Roman"/>
                <w:sz w:val="24"/>
                <w:szCs w:val="24"/>
              </w:rPr>
              <w:t>Toetame üldjoontes eelnõu eesmärki võimaldada Eesti aktsiaseltsidel kasutada erineva hääleõigusega aktsiaid. Samas vajavad mitmed eelnõus valitud lahendused meie hinnangul täiendavat põhjendamist</w:t>
            </w:r>
            <w:r>
              <w:rPr>
                <w:rFonts w:ascii="Times New Roman" w:hAnsi="Times New Roman"/>
                <w:sz w:val="24"/>
                <w:szCs w:val="24"/>
              </w:rPr>
              <w:t xml:space="preserve"> </w:t>
            </w:r>
            <w:r w:rsidRPr="003C09B8">
              <w:rPr>
                <w:rFonts w:ascii="Times New Roman" w:hAnsi="Times New Roman"/>
                <w:sz w:val="24"/>
                <w:szCs w:val="24"/>
              </w:rPr>
              <w:t>või muutmist.</w:t>
            </w:r>
            <w:r>
              <w:rPr>
                <w:rFonts w:ascii="Times New Roman" w:hAnsi="Times New Roman"/>
                <w:sz w:val="24"/>
                <w:szCs w:val="24"/>
              </w:rPr>
              <w:t xml:space="preserve"> </w:t>
            </w:r>
            <w:r w:rsidRPr="003C09B8">
              <w:rPr>
                <w:rFonts w:ascii="Times New Roman" w:hAnsi="Times New Roman"/>
                <w:sz w:val="24"/>
                <w:szCs w:val="24"/>
              </w:rPr>
              <w:t>Kokkuvõttes soovitame:</w:t>
            </w:r>
            <w:r>
              <w:rPr>
                <w:rFonts w:ascii="Times New Roman" w:hAnsi="Times New Roman"/>
                <w:sz w:val="24"/>
                <w:szCs w:val="24"/>
              </w:rPr>
              <w:t xml:space="preserve"> </w:t>
            </w:r>
            <w:r w:rsidRPr="003C09B8">
              <w:rPr>
                <w:rFonts w:ascii="Times New Roman" w:hAnsi="Times New Roman"/>
                <w:sz w:val="24"/>
                <w:szCs w:val="24"/>
              </w:rPr>
              <w:t>1)</w:t>
            </w:r>
            <w:r>
              <w:rPr>
                <w:rFonts w:ascii="Times New Roman" w:hAnsi="Times New Roman"/>
                <w:sz w:val="24"/>
                <w:szCs w:val="24"/>
              </w:rPr>
              <w:t xml:space="preserve"> </w:t>
            </w:r>
            <w:r w:rsidRPr="003C09B8">
              <w:rPr>
                <w:rFonts w:ascii="Times New Roman" w:hAnsi="Times New Roman"/>
                <w:sz w:val="24"/>
                <w:szCs w:val="24"/>
              </w:rPr>
              <w:t>kaaluda</w:t>
            </w:r>
            <w:r>
              <w:rPr>
                <w:rFonts w:ascii="Times New Roman" w:hAnsi="Times New Roman"/>
                <w:sz w:val="24"/>
                <w:szCs w:val="24"/>
              </w:rPr>
              <w:t xml:space="preserve"> </w:t>
            </w:r>
            <w:r w:rsidRPr="003C09B8">
              <w:rPr>
                <w:rFonts w:ascii="Times New Roman" w:hAnsi="Times New Roman"/>
                <w:sz w:val="24"/>
                <w:szCs w:val="24"/>
              </w:rPr>
              <w:t>kümnekordse hääleõiguse ülempiiri asemel sajakordset ülempiiri;</w:t>
            </w:r>
            <w:r>
              <w:rPr>
                <w:rFonts w:ascii="Times New Roman" w:hAnsi="Times New Roman"/>
                <w:sz w:val="24"/>
                <w:szCs w:val="24"/>
              </w:rPr>
              <w:t xml:space="preserve"> </w:t>
            </w:r>
            <w:r w:rsidRPr="003C09B8">
              <w:rPr>
                <w:rFonts w:ascii="Times New Roman" w:hAnsi="Times New Roman"/>
                <w:sz w:val="24"/>
                <w:szCs w:val="24"/>
              </w:rPr>
              <w:t>2)</w:t>
            </w:r>
            <w:r>
              <w:rPr>
                <w:rFonts w:ascii="Times New Roman" w:hAnsi="Times New Roman"/>
                <w:sz w:val="24"/>
                <w:szCs w:val="24"/>
              </w:rPr>
              <w:t xml:space="preserve"> </w:t>
            </w:r>
            <w:r w:rsidRPr="003C09B8">
              <w:rPr>
                <w:rFonts w:ascii="Times New Roman" w:hAnsi="Times New Roman"/>
                <w:sz w:val="24"/>
                <w:szCs w:val="24"/>
              </w:rPr>
              <w:t>asendada suurema hääleõigusega aktsiate vastuvõtmiseks kõigi aktsionäride nõusoleku nõue kvalifitseeritud häälteenamuse 4/5 nõudega;</w:t>
            </w:r>
            <w:r>
              <w:rPr>
                <w:rFonts w:ascii="Times New Roman" w:hAnsi="Times New Roman"/>
                <w:sz w:val="24"/>
                <w:szCs w:val="24"/>
              </w:rPr>
              <w:t xml:space="preserve"> </w:t>
            </w:r>
            <w:r w:rsidRPr="003C09B8">
              <w:rPr>
                <w:rFonts w:ascii="Times New Roman" w:hAnsi="Times New Roman"/>
                <w:sz w:val="24"/>
                <w:szCs w:val="24"/>
              </w:rPr>
              <w:t>3)</w:t>
            </w:r>
            <w:r>
              <w:rPr>
                <w:rFonts w:ascii="Times New Roman" w:hAnsi="Times New Roman"/>
                <w:sz w:val="24"/>
                <w:szCs w:val="24"/>
              </w:rPr>
              <w:t xml:space="preserve"> </w:t>
            </w:r>
            <w:r w:rsidRPr="003C09B8">
              <w:rPr>
                <w:rFonts w:ascii="Times New Roman" w:hAnsi="Times New Roman"/>
                <w:sz w:val="24"/>
                <w:szCs w:val="24"/>
              </w:rPr>
              <w:t>jätta välja audiitori valimise erand;</w:t>
            </w:r>
            <w:r>
              <w:rPr>
                <w:rFonts w:ascii="Times New Roman" w:hAnsi="Times New Roman"/>
                <w:sz w:val="24"/>
                <w:szCs w:val="24"/>
              </w:rPr>
              <w:t xml:space="preserve"> </w:t>
            </w:r>
            <w:r w:rsidRPr="003C09B8">
              <w:rPr>
                <w:rFonts w:ascii="Times New Roman" w:hAnsi="Times New Roman"/>
                <w:sz w:val="24"/>
                <w:szCs w:val="24"/>
              </w:rPr>
              <w:t>4)</w:t>
            </w:r>
            <w:r>
              <w:rPr>
                <w:rFonts w:ascii="Times New Roman" w:hAnsi="Times New Roman"/>
                <w:sz w:val="24"/>
                <w:szCs w:val="24"/>
              </w:rPr>
              <w:t xml:space="preserve"> </w:t>
            </w:r>
            <w:r w:rsidRPr="003C09B8">
              <w:rPr>
                <w:rFonts w:ascii="Times New Roman" w:hAnsi="Times New Roman"/>
                <w:sz w:val="24"/>
                <w:szCs w:val="24"/>
              </w:rPr>
              <w:t>reguleerida selgelt ÄS § 236 lõike 2 ja § 236¹ vahekord;</w:t>
            </w:r>
            <w:r>
              <w:rPr>
                <w:rFonts w:ascii="Times New Roman" w:hAnsi="Times New Roman"/>
                <w:sz w:val="24"/>
                <w:szCs w:val="24"/>
              </w:rPr>
              <w:t xml:space="preserve"> </w:t>
            </w:r>
            <w:r w:rsidRPr="003C09B8">
              <w:rPr>
                <w:rFonts w:ascii="Times New Roman" w:hAnsi="Times New Roman"/>
                <w:sz w:val="24"/>
                <w:szCs w:val="24"/>
              </w:rPr>
              <w:t>5)</w:t>
            </w:r>
            <w:r>
              <w:rPr>
                <w:rFonts w:ascii="Times New Roman" w:hAnsi="Times New Roman"/>
                <w:sz w:val="24"/>
                <w:szCs w:val="24"/>
              </w:rPr>
              <w:t xml:space="preserve"> </w:t>
            </w:r>
            <w:r w:rsidRPr="003C09B8">
              <w:rPr>
                <w:rFonts w:ascii="Times New Roman" w:hAnsi="Times New Roman"/>
                <w:sz w:val="24"/>
                <w:szCs w:val="24"/>
              </w:rPr>
              <w:t>loobuda võõrandamisel põhinevast aegumisklauslist.</w:t>
            </w:r>
            <w:r>
              <w:rPr>
                <w:rFonts w:ascii="Times New Roman" w:hAnsi="Times New Roman"/>
                <w:sz w:val="24"/>
                <w:szCs w:val="24"/>
              </w:rPr>
              <w:t xml:space="preserve"> </w:t>
            </w:r>
            <w:r w:rsidRPr="003C09B8">
              <w:rPr>
                <w:rFonts w:ascii="Times New Roman" w:hAnsi="Times New Roman"/>
                <w:sz w:val="24"/>
                <w:szCs w:val="24"/>
              </w:rPr>
              <w:t>Põhjendame oma seisukohti lähemalt teemade kaupa:</w:t>
            </w:r>
          </w:p>
        </w:tc>
        <w:tc>
          <w:tcPr>
            <w:tcW w:w="3402" w:type="dxa"/>
            <w:tcBorders>
              <w:top w:val="single" w:sz="4" w:space="0" w:color="auto"/>
              <w:left w:val="single" w:sz="4" w:space="0" w:color="auto"/>
              <w:bottom w:val="single" w:sz="4" w:space="0" w:color="auto"/>
              <w:right w:val="single" w:sz="4" w:space="0" w:color="auto"/>
            </w:tcBorders>
          </w:tcPr>
          <w:p w14:paraId="7B9330C0" w14:textId="77777777" w:rsidR="00D359D6" w:rsidRPr="003C09B8" w:rsidRDefault="00D359D6" w:rsidP="00E2664A">
            <w:pPr>
              <w:rPr>
                <w:rFonts w:ascii="Times New Roman" w:hAnsi="Times New Roman"/>
                <w:sz w:val="24"/>
                <w:szCs w:val="24"/>
              </w:rPr>
            </w:pPr>
            <w:r w:rsidRPr="003C09B8">
              <w:rPr>
                <w:rFonts w:ascii="Times New Roman" w:hAnsi="Times New Roman"/>
                <w:sz w:val="24"/>
                <w:szCs w:val="24"/>
              </w:rPr>
              <w:t>Teadmiseks võetud.</w:t>
            </w:r>
          </w:p>
        </w:tc>
      </w:tr>
      <w:tr w:rsidR="00D359D6" w:rsidRPr="003C09B8" w14:paraId="16790F32" w14:textId="77777777" w:rsidTr="00E2664A">
        <w:tc>
          <w:tcPr>
            <w:tcW w:w="562" w:type="dxa"/>
            <w:tcBorders>
              <w:top w:val="single" w:sz="4" w:space="0" w:color="auto"/>
              <w:left w:val="single" w:sz="4" w:space="0" w:color="auto"/>
              <w:bottom w:val="single" w:sz="4" w:space="0" w:color="auto"/>
              <w:right w:val="single" w:sz="4" w:space="0" w:color="auto"/>
            </w:tcBorders>
          </w:tcPr>
          <w:p w14:paraId="2D5D663C"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2</w:t>
            </w:r>
          </w:p>
        </w:tc>
        <w:tc>
          <w:tcPr>
            <w:tcW w:w="5103" w:type="dxa"/>
            <w:tcBorders>
              <w:top w:val="single" w:sz="4" w:space="0" w:color="auto"/>
              <w:left w:val="single" w:sz="4" w:space="0" w:color="auto"/>
              <w:bottom w:val="single" w:sz="4" w:space="0" w:color="auto"/>
              <w:right w:val="single" w:sz="4" w:space="0" w:color="auto"/>
            </w:tcBorders>
          </w:tcPr>
          <w:p w14:paraId="7327D3BA" w14:textId="77777777" w:rsidR="00D359D6" w:rsidRPr="00441086" w:rsidRDefault="00D359D6" w:rsidP="00E2664A">
            <w:pPr>
              <w:jc w:val="both"/>
              <w:rPr>
                <w:rFonts w:ascii="Times New Roman" w:hAnsi="Times New Roman"/>
                <w:sz w:val="24"/>
                <w:szCs w:val="24"/>
              </w:rPr>
            </w:pPr>
            <w:r w:rsidRPr="00441086">
              <w:rPr>
                <w:rFonts w:ascii="Times New Roman" w:hAnsi="Times New Roman"/>
                <w:sz w:val="24"/>
                <w:szCs w:val="24"/>
              </w:rPr>
              <w:t>1) Suurema hääleõiguse kümnekordne ülempiir</w:t>
            </w:r>
          </w:p>
          <w:p w14:paraId="59F26ECB" w14:textId="77777777" w:rsidR="00D359D6" w:rsidRPr="00441086" w:rsidRDefault="00D359D6" w:rsidP="00E2664A">
            <w:pPr>
              <w:jc w:val="both"/>
              <w:rPr>
                <w:rFonts w:ascii="Times New Roman" w:hAnsi="Times New Roman"/>
                <w:sz w:val="24"/>
                <w:szCs w:val="24"/>
              </w:rPr>
            </w:pPr>
            <w:r w:rsidRPr="00441086">
              <w:rPr>
                <w:rFonts w:ascii="Times New Roman" w:hAnsi="Times New Roman"/>
                <w:sz w:val="24"/>
                <w:szCs w:val="24"/>
              </w:rPr>
              <w:t xml:space="preserve">Eelnõu kohaselt võib suurem hääleõigus olla maksimaalselt kümnekordne võrreldes tavapärase hääleõigusega. Seletuskirjas põhjendatakse seda aktsionäride kaitse vajadusega. Kümnekordse ülempiiri valik ei ole piisavalt põhjendatud. Kuna suurema hääleõigusega aktsiate loomine või nende õiguste muutmine eeldaks nagunii kõrgemat häälteenamust (vt selle kohta p 2) ja uutel investoritel on omakorda võimalik enne investeerimist hinnata aktsiaseltsi aktsiastruktuuri </w:t>
            </w:r>
            <w:r w:rsidRPr="00441086">
              <w:rPr>
                <w:rFonts w:ascii="Times New Roman" w:hAnsi="Times New Roman"/>
                <w:sz w:val="24"/>
                <w:szCs w:val="24"/>
              </w:rPr>
              <w:lastRenderedPageBreak/>
              <w:t>ning otsustada, kas sellesse ühingusse investeerida või mitte, siis äriõiguse komisjoni hinnangul võiks seadus jätta aktsionäridele suurema kujundusõiguse kui ainult 10-krone ülempiir ning lubada kõrgemat suhtarvu, näiteks kuni 100-kordne ülempiir. Praktikas on erineva hääleõigusega osade puhul üldjuhul vahed oluliselt kõrgemad kui 10 korda (vahel isegi 1000 või 10000 kordne), mistõttu peaks jääma suurem paindlikkus ka aktsiaseltsidele.</w:t>
            </w:r>
          </w:p>
        </w:tc>
        <w:tc>
          <w:tcPr>
            <w:tcW w:w="3402" w:type="dxa"/>
            <w:tcBorders>
              <w:top w:val="single" w:sz="4" w:space="0" w:color="auto"/>
              <w:left w:val="single" w:sz="4" w:space="0" w:color="auto"/>
              <w:bottom w:val="single" w:sz="4" w:space="0" w:color="auto"/>
              <w:right w:val="single" w:sz="4" w:space="0" w:color="auto"/>
            </w:tcBorders>
          </w:tcPr>
          <w:p w14:paraId="44915510"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lastRenderedPageBreak/>
              <w:t>Selgitatud. 1</w:t>
            </w:r>
            <w:r>
              <w:rPr>
                <w:rFonts w:ascii="Times New Roman" w:hAnsi="Times New Roman"/>
                <w:sz w:val="24"/>
                <w:szCs w:val="24"/>
              </w:rPr>
              <w:t xml:space="preserve"> </w:t>
            </w:r>
            <w:r w:rsidRPr="003C09B8">
              <w:rPr>
                <w:rFonts w:ascii="Times New Roman" w:hAnsi="Times New Roman"/>
                <w:sz w:val="24"/>
                <w:szCs w:val="24"/>
              </w:rPr>
              <w:t>:</w:t>
            </w:r>
            <w:r>
              <w:rPr>
                <w:rFonts w:ascii="Times New Roman" w:hAnsi="Times New Roman"/>
                <w:sz w:val="24"/>
                <w:szCs w:val="24"/>
              </w:rPr>
              <w:t xml:space="preserve"> </w:t>
            </w:r>
            <w:r w:rsidRPr="003C09B8">
              <w:rPr>
                <w:rFonts w:ascii="Times New Roman" w:hAnsi="Times New Roman"/>
                <w:sz w:val="24"/>
                <w:szCs w:val="24"/>
              </w:rPr>
              <w:t xml:space="preserve">10 ülempiiri kehtestamisega soovitakse </w:t>
            </w:r>
            <w:r>
              <w:rPr>
                <w:rFonts w:ascii="Times New Roman" w:hAnsi="Times New Roman"/>
                <w:sz w:val="24"/>
                <w:szCs w:val="24"/>
              </w:rPr>
              <w:t xml:space="preserve">välja pakkuda </w:t>
            </w:r>
            <w:r w:rsidRPr="003C09B8">
              <w:rPr>
                <w:rFonts w:ascii="Times New Roman" w:hAnsi="Times New Roman"/>
                <w:sz w:val="24"/>
                <w:szCs w:val="24"/>
              </w:rPr>
              <w:t xml:space="preserve">tasakaalustatud lahendus, mis arvestaks nii algsete aktsionäride kui ka uute investorite huvidega. Tegemist on rahvusvaheliselt levinud ülempiiriga. </w:t>
            </w:r>
          </w:p>
        </w:tc>
      </w:tr>
      <w:tr w:rsidR="00D359D6" w:rsidRPr="003C09B8" w14:paraId="52E8EE69" w14:textId="77777777" w:rsidTr="00E2664A">
        <w:tc>
          <w:tcPr>
            <w:tcW w:w="562" w:type="dxa"/>
            <w:tcBorders>
              <w:top w:val="single" w:sz="4" w:space="0" w:color="auto"/>
              <w:left w:val="single" w:sz="4" w:space="0" w:color="auto"/>
              <w:bottom w:val="single" w:sz="4" w:space="0" w:color="auto"/>
              <w:right w:val="single" w:sz="4" w:space="0" w:color="auto"/>
            </w:tcBorders>
          </w:tcPr>
          <w:p w14:paraId="3D48B679"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3</w:t>
            </w:r>
          </w:p>
        </w:tc>
        <w:tc>
          <w:tcPr>
            <w:tcW w:w="5103" w:type="dxa"/>
            <w:tcBorders>
              <w:top w:val="single" w:sz="4" w:space="0" w:color="auto"/>
              <w:left w:val="single" w:sz="4" w:space="0" w:color="auto"/>
              <w:bottom w:val="single" w:sz="4" w:space="0" w:color="auto"/>
              <w:right w:val="single" w:sz="4" w:space="0" w:color="auto"/>
            </w:tcBorders>
          </w:tcPr>
          <w:p w14:paraId="298D1A79" w14:textId="77777777" w:rsidR="00D359D6" w:rsidRPr="00441086" w:rsidRDefault="00D359D6" w:rsidP="00E2664A">
            <w:pPr>
              <w:jc w:val="both"/>
              <w:rPr>
                <w:rFonts w:ascii="Times New Roman" w:hAnsi="Times New Roman"/>
                <w:sz w:val="24"/>
                <w:szCs w:val="24"/>
              </w:rPr>
            </w:pPr>
            <w:r w:rsidRPr="00441086">
              <w:rPr>
                <w:rFonts w:ascii="Times New Roman" w:hAnsi="Times New Roman"/>
                <w:sz w:val="24"/>
                <w:szCs w:val="24"/>
              </w:rPr>
              <w:t>2) Kõigi aktsionäride nõusoleku nõue</w:t>
            </w:r>
          </w:p>
          <w:p w14:paraId="253D579F" w14:textId="77777777" w:rsidR="00D359D6" w:rsidRPr="00441086" w:rsidRDefault="00D359D6" w:rsidP="00E2664A">
            <w:pPr>
              <w:jc w:val="both"/>
              <w:rPr>
                <w:rFonts w:ascii="Times New Roman" w:hAnsi="Times New Roman"/>
                <w:sz w:val="24"/>
                <w:szCs w:val="24"/>
              </w:rPr>
            </w:pPr>
            <w:r w:rsidRPr="00441086">
              <w:rPr>
                <w:rFonts w:ascii="Times New Roman" w:hAnsi="Times New Roman"/>
                <w:sz w:val="24"/>
                <w:szCs w:val="24"/>
              </w:rPr>
              <w:t>Nõue, mille kohaselt on erineva hääleõiguse loomiseks või muutmiseks vajalik kõigi aktsionäride nõusolek, on meie hinnangul ebaproportsionaalselt piirav. Eriti problemaatiline on see rohkema aktsionäride arvuga aktsiaseltsides, kus kõigi aktsionäride osalemist ja nõusolekut ei pruugi olla praktiliselt võimalik saavutada. Ka kõnealune direktiiv nõuab vähemalt kvalifitseeritud häälteenamust, mitte konsensust, mistõttu ei ole ühehäälsuse nõue direktiivi ülevõtmiseks vajalik. Sobivam oleks meie hinnangul lähtuda ÄS § 235 lõikes 2 sätestatud põhimõttest: otsuse poolt peab olema vähemalt 4/5 kõigist häältest ning vähemalt 9/10 nende aktsionäride häältest, kelle aktsiatega seotud õigusi muudetakse. Selline lahendus kaitseks mõjutatud aktsionäre, muutmata regulatsiooni praktikas sisuliselt mitte kasutatavaks.</w:t>
            </w:r>
          </w:p>
        </w:tc>
        <w:tc>
          <w:tcPr>
            <w:tcW w:w="3402" w:type="dxa"/>
            <w:tcBorders>
              <w:top w:val="single" w:sz="4" w:space="0" w:color="auto"/>
              <w:left w:val="single" w:sz="4" w:space="0" w:color="auto"/>
              <w:bottom w:val="single" w:sz="4" w:space="0" w:color="auto"/>
              <w:right w:val="single" w:sz="4" w:space="0" w:color="auto"/>
            </w:tcBorders>
          </w:tcPr>
          <w:p w14:paraId="3D572310"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 xml:space="preserve">Selgitatud. Tegemist on teadliku valikuga. Eelnõu eesmärgiks on võimaldada suurema hääleõigusega aktsiate </w:t>
            </w:r>
            <w:r>
              <w:rPr>
                <w:rFonts w:ascii="Times New Roman" w:hAnsi="Times New Roman"/>
                <w:sz w:val="24"/>
                <w:szCs w:val="24"/>
              </w:rPr>
              <w:t xml:space="preserve">kasutamist </w:t>
            </w:r>
            <w:r w:rsidRPr="003C09B8">
              <w:rPr>
                <w:rFonts w:ascii="Times New Roman" w:hAnsi="Times New Roman"/>
                <w:sz w:val="24"/>
                <w:szCs w:val="24"/>
              </w:rPr>
              <w:t xml:space="preserve">ainult sellistes aktsiaseltsides, kus tõesti kõik aktsionärid seda soovivad ja seetõttu ongi ette nähtud kõigi </w:t>
            </w:r>
            <w:r>
              <w:rPr>
                <w:rFonts w:ascii="Times New Roman" w:hAnsi="Times New Roman"/>
                <w:sz w:val="24"/>
                <w:szCs w:val="24"/>
              </w:rPr>
              <w:t xml:space="preserve">aktsionäride </w:t>
            </w:r>
            <w:r w:rsidRPr="003C09B8">
              <w:rPr>
                <w:rFonts w:ascii="Times New Roman" w:hAnsi="Times New Roman"/>
                <w:sz w:val="24"/>
                <w:szCs w:val="24"/>
              </w:rPr>
              <w:t>nõusolek. Loodav võimalus peaks motiveerima just väikeste aktsionäride arvuga iduühinguid kasvama ja raha kaasama. Valitud lahendus võimaldab kasutada suurema hääleõigusega aktsiaid rohkemates aktsiaseltsides kui direktiivis minimaalselt nõutav, kuid samas kasutatakse direktiivis ette nähtud valikuvõimalusi uute investorite kaitseks.</w:t>
            </w:r>
          </w:p>
        </w:tc>
      </w:tr>
      <w:tr w:rsidR="00D359D6" w:rsidRPr="003C09B8" w14:paraId="24BC31E7" w14:textId="77777777" w:rsidTr="00E2664A">
        <w:tc>
          <w:tcPr>
            <w:tcW w:w="562" w:type="dxa"/>
            <w:tcBorders>
              <w:top w:val="single" w:sz="4" w:space="0" w:color="auto"/>
              <w:left w:val="single" w:sz="4" w:space="0" w:color="auto"/>
              <w:bottom w:val="single" w:sz="4" w:space="0" w:color="auto"/>
              <w:right w:val="single" w:sz="4" w:space="0" w:color="auto"/>
            </w:tcBorders>
          </w:tcPr>
          <w:p w14:paraId="4D0F0491"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4</w:t>
            </w:r>
          </w:p>
        </w:tc>
        <w:tc>
          <w:tcPr>
            <w:tcW w:w="5103" w:type="dxa"/>
            <w:tcBorders>
              <w:top w:val="single" w:sz="4" w:space="0" w:color="auto"/>
              <w:left w:val="single" w:sz="4" w:space="0" w:color="auto"/>
              <w:bottom w:val="single" w:sz="4" w:space="0" w:color="auto"/>
              <w:right w:val="single" w:sz="4" w:space="0" w:color="auto"/>
            </w:tcBorders>
          </w:tcPr>
          <w:p w14:paraId="542F0105" w14:textId="77777777" w:rsidR="00D359D6" w:rsidRPr="00441086" w:rsidRDefault="00D359D6" w:rsidP="00E2664A">
            <w:pPr>
              <w:jc w:val="both"/>
              <w:rPr>
                <w:rFonts w:ascii="Times New Roman" w:hAnsi="Times New Roman"/>
                <w:sz w:val="24"/>
                <w:szCs w:val="24"/>
              </w:rPr>
            </w:pPr>
            <w:r>
              <w:rPr>
                <w:rFonts w:ascii="Times New Roman" w:hAnsi="Times New Roman"/>
                <w:szCs w:val="24"/>
              </w:rPr>
              <w:t xml:space="preserve">3) </w:t>
            </w:r>
            <w:r w:rsidRPr="00441086">
              <w:rPr>
                <w:rFonts w:ascii="Times New Roman" w:hAnsi="Times New Roman"/>
                <w:sz w:val="24"/>
                <w:szCs w:val="24"/>
              </w:rPr>
              <w:t>Erand audiitori valimisel</w:t>
            </w:r>
          </w:p>
          <w:p w14:paraId="2A470E8F" w14:textId="77777777" w:rsidR="00D359D6" w:rsidRPr="003C09B8" w:rsidRDefault="00D359D6" w:rsidP="00E2664A">
            <w:pPr>
              <w:jc w:val="both"/>
              <w:rPr>
                <w:rFonts w:ascii="Times New Roman" w:hAnsi="Times New Roman"/>
                <w:sz w:val="24"/>
                <w:szCs w:val="24"/>
              </w:rPr>
            </w:pPr>
            <w:r w:rsidRPr="00441086">
              <w:rPr>
                <w:rFonts w:ascii="Times New Roman" w:hAnsi="Times New Roman"/>
                <w:sz w:val="24"/>
                <w:szCs w:val="24"/>
              </w:rPr>
              <w:t>Eelnõu kohaselt ei kehti erinev hääleõigus audiitori valimise otsustamisel. Seletuskirja</w:t>
            </w:r>
            <w:r w:rsidRPr="003C09B8">
              <w:rPr>
                <w:rFonts w:ascii="Times New Roman" w:hAnsi="Times New Roman"/>
                <w:sz w:val="24"/>
                <w:szCs w:val="24"/>
              </w:rPr>
              <w:t xml:space="preserve"> järgi soovitakse sellega vältida olukorda, kus audiitor valitakse väikest kapitaliosalust, kuid suurt häältearvu omavate aktsionäride soovide kohaselt.</w:t>
            </w:r>
            <w:r>
              <w:rPr>
                <w:rFonts w:ascii="Times New Roman" w:hAnsi="Times New Roman"/>
                <w:sz w:val="24"/>
                <w:szCs w:val="24"/>
              </w:rPr>
              <w:t xml:space="preserve"> </w:t>
            </w:r>
            <w:r w:rsidRPr="003C09B8">
              <w:rPr>
                <w:rFonts w:ascii="Times New Roman" w:hAnsi="Times New Roman"/>
                <w:sz w:val="24"/>
                <w:szCs w:val="24"/>
              </w:rPr>
              <w:t>Äriõiguse komisjoni hinnangul ei ole selline erand erineva hääleõigusega aktsiate regulatsiooni eesmärki arvestades põhjendatud. Kavandatava regulatsiooni mõte ongi võimaldada aktsionäri otsustusõiguse erinevust tema osalusest. Sellega kaasneb ka suurem võimalus mõjutada üldkoosoleku otsuseid. Seega soovitame vastava erandi eelnõust välja jätta.</w:t>
            </w:r>
          </w:p>
        </w:tc>
        <w:tc>
          <w:tcPr>
            <w:tcW w:w="3402" w:type="dxa"/>
            <w:tcBorders>
              <w:top w:val="single" w:sz="4" w:space="0" w:color="auto"/>
              <w:left w:val="single" w:sz="4" w:space="0" w:color="auto"/>
              <w:bottom w:val="single" w:sz="4" w:space="0" w:color="auto"/>
              <w:right w:val="single" w:sz="4" w:space="0" w:color="auto"/>
            </w:tcBorders>
          </w:tcPr>
          <w:p w14:paraId="03065374"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Selgitatud. Investoritel peaks olema hoolimata väiksemast hääleõigusest võimalik mõjutada audiitori valimist. Tegemist on olulise kaitsemeetmega.</w:t>
            </w:r>
          </w:p>
        </w:tc>
      </w:tr>
      <w:tr w:rsidR="00D359D6" w:rsidRPr="003C09B8" w14:paraId="3DE4C9D2" w14:textId="77777777" w:rsidTr="00E2664A">
        <w:tc>
          <w:tcPr>
            <w:tcW w:w="562" w:type="dxa"/>
            <w:tcBorders>
              <w:top w:val="single" w:sz="4" w:space="0" w:color="auto"/>
              <w:left w:val="single" w:sz="4" w:space="0" w:color="auto"/>
              <w:bottom w:val="single" w:sz="4" w:space="0" w:color="auto"/>
              <w:right w:val="single" w:sz="4" w:space="0" w:color="auto"/>
            </w:tcBorders>
          </w:tcPr>
          <w:p w14:paraId="62D33D90"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5</w:t>
            </w:r>
          </w:p>
        </w:tc>
        <w:tc>
          <w:tcPr>
            <w:tcW w:w="5103" w:type="dxa"/>
            <w:tcBorders>
              <w:top w:val="single" w:sz="4" w:space="0" w:color="auto"/>
              <w:left w:val="single" w:sz="4" w:space="0" w:color="auto"/>
              <w:bottom w:val="single" w:sz="4" w:space="0" w:color="auto"/>
              <w:right w:val="single" w:sz="4" w:space="0" w:color="auto"/>
            </w:tcBorders>
          </w:tcPr>
          <w:p w14:paraId="5CEDBB91"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4)</w:t>
            </w:r>
            <w:r>
              <w:rPr>
                <w:rFonts w:ascii="Times New Roman" w:hAnsi="Times New Roman"/>
                <w:sz w:val="24"/>
                <w:szCs w:val="24"/>
              </w:rPr>
              <w:t xml:space="preserve"> </w:t>
            </w:r>
            <w:r w:rsidRPr="003C09B8">
              <w:rPr>
                <w:rFonts w:ascii="Times New Roman" w:hAnsi="Times New Roman"/>
                <w:sz w:val="24"/>
                <w:szCs w:val="24"/>
              </w:rPr>
              <w:t xml:space="preserve">Osalusel ja häälte arvul põhinevate </w:t>
            </w:r>
            <w:proofErr w:type="spellStart"/>
            <w:r w:rsidRPr="003C09B8">
              <w:rPr>
                <w:rFonts w:ascii="Times New Roman" w:hAnsi="Times New Roman"/>
                <w:sz w:val="24"/>
                <w:szCs w:val="24"/>
              </w:rPr>
              <w:t>lävendite</w:t>
            </w:r>
            <w:proofErr w:type="spellEnd"/>
            <w:r w:rsidRPr="003C09B8">
              <w:rPr>
                <w:rFonts w:ascii="Times New Roman" w:hAnsi="Times New Roman"/>
                <w:sz w:val="24"/>
                <w:szCs w:val="24"/>
              </w:rPr>
              <w:t xml:space="preserve"> paralleelne kasutamine</w:t>
            </w:r>
          </w:p>
          <w:p w14:paraId="274185FD" w14:textId="77777777" w:rsidR="00D359D6" w:rsidRPr="003C09B8" w:rsidRDefault="00D359D6" w:rsidP="00E2664A">
            <w:pPr>
              <w:jc w:val="both"/>
              <w:rPr>
                <w:rFonts w:ascii="Times New Roman" w:hAnsi="Times New Roman"/>
                <w:sz w:val="24"/>
                <w:szCs w:val="24"/>
              </w:rPr>
            </w:pPr>
          </w:p>
          <w:p w14:paraId="17BE0C5C"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lastRenderedPageBreak/>
              <w:t>Eelnõuga nähakse mitme sätte puhul ette, et õiguse või piirangu kohaldamiseks piisab kas teatavast osalusest aktsiakapitalis või samaväärsest osakaalust häältes. Muudatus puudutab muu hulgas aktsionärile laenu andmise keeldu ning õigust:</w:t>
            </w:r>
          </w:p>
          <w:p w14:paraId="70ECE9E7"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w:t>
            </w:r>
            <w:r w:rsidRPr="003C09B8">
              <w:rPr>
                <w:rFonts w:ascii="Times New Roman" w:hAnsi="Times New Roman"/>
                <w:sz w:val="24"/>
                <w:szCs w:val="24"/>
              </w:rPr>
              <w:tab/>
              <w:t xml:space="preserve">taotleda erakorralise üldkoosoleku kokkukutsumist; </w:t>
            </w:r>
          </w:p>
          <w:p w14:paraId="4BD643DF"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w:t>
            </w:r>
            <w:r w:rsidRPr="003C09B8">
              <w:rPr>
                <w:rFonts w:ascii="Times New Roman" w:hAnsi="Times New Roman"/>
                <w:sz w:val="24"/>
                <w:szCs w:val="24"/>
              </w:rPr>
              <w:tab/>
              <w:t>nõuda päevakorra täiendamist;</w:t>
            </w:r>
          </w:p>
          <w:p w14:paraId="75F68CB6"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w:t>
            </w:r>
            <w:r w:rsidRPr="003C09B8">
              <w:rPr>
                <w:rFonts w:ascii="Times New Roman" w:hAnsi="Times New Roman"/>
                <w:sz w:val="24"/>
                <w:szCs w:val="24"/>
              </w:rPr>
              <w:tab/>
              <w:t>esitada otsuse eelnõusid;</w:t>
            </w:r>
          </w:p>
          <w:p w14:paraId="0E8125FF"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w:t>
            </w:r>
            <w:r w:rsidRPr="003C09B8">
              <w:rPr>
                <w:rFonts w:ascii="Times New Roman" w:hAnsi="Times New Roman"/>
                <w:sz w:val="24"/>
                <w:szCs w:val="24"/>
              </w:rPr>
              <w:tab/>
              <w:t>nõuda üldkoosoleku protokolli notariaalset tõestamist;</w:t>
            </w:r>
          </w:p>
          <w:p w14:paraId="0B9B4F21"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w:t>
            </w:r>
            <w:r w:rsidRPr="003C09B8">
              <w:rPr>
                <w:rFonts w:ascii="Times New Roman" w:hAnsi="Times New Roman"/>
                <w:sz w:val="24"/>
                <w:szCs w:val="24"/>
              </w:rPr>
              <w:tab/>
              <w:t>taotleda nõukogu liikme tagasikutsumist;</w:t>
            </w:r>
          </w:p>
          <w:p w14:paraId="60374DE6"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w:t>
            </w:r>
            <w:r w:rsidRPr="003C09B8">
              <w:rPr>
                <w:rFonts w:ascii="Times New Roman" w:hAnsi="Times New Roman"/>
                <w:sz w:val="24"/>
                <w:szCs w:val="24"/>
              </w:rPr>
              <w:tab/>
              <w:t>kutsuda kokku nõukogu koosolekut.</w:t>
            </w:r>
          </w:p>
          <w:p w14:paraId="44B45123" w14:textId="77777777" w:rsidR="00D359D6" w:rsidRPr="003C09B8" w:rsidRDefault="00D359D6" w:rsidP="00E2664A">
            <w:pPr>
              <w:jc w:val="both"/>
              <w:rPr>
                <w:rFonts w:ascii="Times New Roman" w:hAnsi="Times New Roman"/>
                <w:sz w:val="24"/>
                <w:szCs w:val="24"/>
              </w:rPr>
            </w:pPr>
          </w:p>
          <w:p w14:paraId="54998AB9"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Seletuskirja järgi soovitakse võimaldada suurema hääleõigusega aktsionäridel kasutada vähemusaktsionäride õigusi ka siis, kui nende kapitaliosalus jääb alla kehtiva lävendi. Toetame pakutud lahendust.</w:t>
            </w:r>
          </w:p>
        </w:tc>
        <w:tc>
          <w:tcPr>
            <w:tcW w:w="3402" w:type="dxa"/>
            <w:tcBorders>
              <w:top w:val="single" w:sz="4" w:space="0" w:color="auto"/>
              <w:left w:val="single" w:sz="4" w:space="0" w:color="auto"/>
              <w:bottom w:val="single" w:sz="4" w:space="0" w:color="auto"/>
              <w:right w:val="single" w:sz="4" w:space="0" w:color="auto"/>
            </w:tcBorders>
          </w:tcPr>
          <w:p w14:paraId="216BC156" w14:textId="77777777" w:rsidR="00D359D6" w:rsidRPr="003C09B8" w:rsidRDefault="00D359D6" w:rsidP="00E2664A">
            <w:pPr>
              <w:rPr>
                <w:rFonts w:ascii="Times New Roman" w:hAnsi="Times New Roman"/>
                <w:sz w:val="24"/>
                <w:szCs w:val="24"/>
              </w:rPr>
            </w:pPr>
            <w:r w:rsidRPr="003C09B8">
              <w:rPr>
                <w:rFonts w:ascii="Times New Roman" w:hAnsi="Times New Roman"/>
                <w:sz w:val="24"/>
                <w:szCs w:val="24"/>
              </w:rPr>
              <w:lastRenderedPageBreak/>
              <w:t>Teadmiseks võetud.</w:t>
            </w:r>
          </w:p>
        </w:tc>
      </w:tr>
      <w:tr w:rsidR="00D359D6" w:rsidRPr="003C09B8" w14:paraId="6AF88FBF" w14:textId="77777777" w:rsidTr="00E2664A">
        <w:tc>
          <w:tcPr>
            <w:tcW w:w="562" w:type="dxa"/>
            <w:tcBorders>
              <w:top w:val="single" w:sz="4" w:space="0" w:color="auto"/>
              <w:left w:val="single" w:sz="4" w:space="0" w:color="auto"/>
              <w:bottom w:val="single" w:sz="4" w:space="0" w:color="auto"/>
              <w:right w:val="single" w:sz="4" w:space="0" w:color="auto"/>
            </w:tcBorders>
          </w:tcPr>
          <w:p w14:paraId="0D1F655E"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6</w:t>
            </w:r>
          </w:p>
        </w:tc>
        <w:tc>
          <w:tcPr>
            <w:tcW w:w="5103" w:type="dxa"/>
            <w:tcBorders>
              <w:top w:val="single" w:sz="4" w:space="0" w:color="auto"/>
              <w:left w:val="single" w:sz="4" w:space="0" w:color="auto"/>
              <w:bottom w:val="single" w:sz="4" w:space="0" w:color="auto"/>
              <w:right w:val="single" w:sz="4" w:space="0" w:color="auto"/>
            </w:tcBorders>
          </w:tcPr>
          <w:p w14:paraId="08808618" w14:textId="77777777" w:rsidR="00D359D6" w:rsidRPr="003C09B8" w:rsidRDefault="00D359D6" w:rsidP="00E2664A">
            <w:pPr>
              <w:jc w:val="both"/>
              <w:rPr>
                <w:rFonts w:ascii="Times New Roman" w:hAnsi="Times New Roman"/>
                <w:sz w:val="24"/>
                <w:szCs w:val="24"/>
              </w:rPr>
            </w:pPr>
            <w:r>
              <w:rPr>
                <w:rFonts w:ascii="Times New Roman" w:hAnsi="Times New Roman"/>
                <w:sz w:val="24"/>
                <w:szCs w:val="24"/>
              </w:rPr>
              <w:t xml:space="preserve">5) </w:t>
            </w:r>
            <w:r w:rsidRPr="003C09B8">
              <w:rPr>
                <w:rFonts w:ascii="Times New Roman" w:hAnsi="Times New Roman"/>
                <w:sz w:val="24"/>
                <w:szCs w:val="24"/>
              </w:rPr>
              <w:t>ÄS § 236 lõike 2 ja kavandatava § 236¹ vahekord</w:t>
            </w:r>
          </w:p>
          <w:p w14:paraId="45A4EA03"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Eelnõu tuleks täiendada selgesõnalise reegliga, mille kohaselt ei kohaldata ÄS § 236 lõiget 2 nende suurema hääleõigusega aktsiate suhtes, mis on välja antud kavandatava § 236¹ alusel ja sellega kooskõlas.</w:t>
            </w:r>
            <w:r>
              <w:rPr>
                <w:rFonts w:ascii="Times New Roman" w:hAnsi="Times New Roman"/>
                <w:sz w:val="24"/>
                <w:szCs w:val="24"/>
              </w:rPr>
              <w:t xml:space="preserve"> </w:t>
            </w:r>
            <w:r w:rsidRPr="003C09B8">
              <w:rPr>
                <w:rFonts w:ascii="Times New Roman" w:hAnsi="Times New Roman"/>
                <w:sz w:val="24"/>
                <w:szCs w:val="24"/>
              </w:rPr>
              <w:t>Praegusest sõnastusest ei nähtu piisavalt selgelt, kuidas suhestub uus regulatsioon ÄS § 236 lõikes 2 sätestatud aktsia nimiväärtuse ja häälte arvu seosega. Kavandatav § 236¹ ei ütle otsesõnu, et suurema hääleõigusega ja tavapärase hääleõigusega aktsiate nimiväärtused võivad olla võrdsed.</w:t>
            </w:r>
            <w:r>
              <w:rPr>
                <w:rFonts w:ascii="Times New Roman" w:hAnsi="Times New Roman"/>
                <w:sz w:val="24"/>
                <w:szCs w:val="24"/>
              </w:rPr>
              <w:t xml:space="preserve"> </w:t>
            </w:r>
            <w:r w:rsidRPr="003C09B8">
              <w:rPr>
                <w:rFonts w:ascii="Times New Roman" w:hAnsi="Times New Roman"/>
                <w:sz w:val="24"/>
                <w:szCs w:val="24"/>
              </w:rPr>
              <w:t>Õigusselguse tagamiseks tuleks see küsimus lahendada kas § 236 muutmise või § 236¹ täiendamise kaudu.</w:t>
            </w:r>
          </w:p>
        </w:tc>
        <w:tc>
          <w:tcPr>
            <w:tcW w:w="3402" w:type="dxa"/>
            <w:tcBorders>
              <w:top w:val="single" w:sz="4" w:space="0" w:color="auto"/>
              <w:left w:val="single" w:sz="4" w:space="0" w:color="auto"/>
              <w:bottom w:val="single" w:sz="4" w:space="0" w:color="auto"/>
              <w:right w:val="single" w:sz="4" w:space="0" w:color="auto"/>
            </w:tcBorders>
          </w:tcPr>
          <w:p w14:paraId="62B23DC5" w14:textId="77777777" w:rsidR="00D359D6" w:rsidRPr="003C09B8" w:rsidRDefault="00D359D6" w:rsidP="00E2664A">
            <w:pPr>
              <w:jc w:val="both"/>
              <w:rPr>
                <w:rFonts w:ascii="Times New Roman" w:hAnsi="Times New Roman"/>
                <w:sz w:val="24"/>
                <w:szCs w:val="24"/>
                <w:highlight w:val="yellow"/>
              </w:rPr>
            </w:pPr>
            <w:r w:rsidRPr="003C09B8">
              <w:rPr>
                <w:rFonts w:ascii="Times New Roman" w:hAnsi="Times New Roman"/>
                <w:sz w:val="24"/>
                <w:szCs w:val="24"/>
              </w:rPr>
              <w:t>Seletuskirja on vastavalt täiendatud.</w:t>
            </w:r>
          </w:p>
        </w:tc>
      </w:tr>
      <w:tr w:rsidR="00D359D6" w:rsidRPr="003C09B8" w14:paraId="3F743A1E" w14:textId="77777777" w:rsidTr="00E2664A">
        <w:tc>
          <w:tcPr>
            <w:tcW w:w="562" w:type="dxa"/>
            <w:tcBorders>
              <w:top w:val="single" w:sz="4" w:space="0" w:color="auto"/>
              <w:left w:val="single" w:sz="4" w:space="0" w:color="auto"/>
              <w:bottom w:val="single" w:sz="4" w:space="0" w:color="auto"/>
              <w:right w:val="single" w:sz="4" w:space="0" w:color="auto"/>
            </w:tcBorders>
          </w:tcPr>
          <w:p w14:paraId="5CAF82C7" w14:textId="77777777" w:rsidR="00D359D6" w:rsidRPr="003C09B8" w:rsidRDefault="00D359D6" w:rsidP="00E2664A">
            <w:pPr>
              <w:rPr>
                <w:rFonts w:ascii="Times New Roman" w:hAnsi="Times New Roman"/>
                <w:b/>
                <w:bCs/>
                <w:sz w:val="24"/>
                <w:szCs w:val="24"/>
              </w:rPr>
            </w:pPr>
            <w:r w:rsidRPr="003C09B8">
              <w:rPr>
                <w:rFonts w:ascii="Times New Roman" w:hAnsi="Times New Roman"/>
                <w:b/>
                <w:bCs/>
                <w:sz w:val="24"/>
                <w:szCs w:val="24"/>
              </w:rPr>
              <w:t>7</w:t>
            </w:r>
          </w:p>
        </w:tc>
        <w:tc>
          <w:tcPr>
            <w:tcW w:w="5103" w:type="dxa"/>
            <w:tcBorders>
              <w:top w:val="single" w:sz="4" w:space="0" w:color="auto"/>
              <w:left w:val="single" w:sz="4" w:space="0" w:color="auto"/>
              <w:bottom w:val="single" w:sz="4" w:space="0" w:color="auto"/>
              <w:right w:val="single" w:sz="4" w:space="0" w:color="auto"/>
            </w:tcBorders>
          </w:tcPr>
          <w:p w14:paraId="5438F7D0"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6)</w:t>
            </w:r>
            <w:r>
              <w:rPr>
                <w:rFonts w:ascii="Times New Roman" w:hAnsi="Times New Roman"/>
                <w:sz w:val="24"/>
                <w:szCs w:val="24"/>
              </w:rPr>
              <w:t xml:space="preserve"> </w:t>
            </w:r>
            <w:r w:rsidRPr="003C09B8">
              <w:rPr>
                <w:rFonts w:ascii="Times New Roman" w:hAnsi="Times New Roman"/>
                <w:sz w:val="24"/>
                <w:szCs w:val="24"/>
              </w:rPr>
              <w:t>Suurema hääleõiguse lõppemine aktsia võõrandamisel</w:t>
            </w:r>
          </w:p>
          <w:p w14:paraId="2887D981"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t xml:space="preserve">Eelnõu kohaselt lõppeb reguleeritud turul või </w:t>
            </w:r>
            <w:proofErr w:type="spellStart"/>
            <w:r w:rsidRPr="003C09B8">
              <w:rPr>
                <w:rFonts w:ascii="Times New Roman" w:hAnsi="Times New Roman"/>
                <w:sz w:val="24"/>
                <w:szCs w:val="24"/>
              </w:rPr>
              <w:t>mitmepoolses</w:t>
            </w:r>
            <w:proofErr w:type="spellEnd"/>
            <w:r w:rsidRPr="003C09B8">
              <w:rPr>
                <w:rFonts w:ascii="Times New Roman" w:hAnsi="Times New Roman"/>
                <w:sz w:val="24"/>
                <w:szCs w:val="24"/>
              </w:rPr>
              <w:t xml:space="preserve"> kauplemissüsteemis kaubeldava aktsia suurem hääleõigus selle aktsia võõrandamisel. Direktiivi artikli 4 lõike 2 kohaselt on sellise üleandmispõhise aegumisklausli kehtestamine liikmesriigi jaoks vabatahtlik.</w:t>
            </w:r>
            <w:r>
              <w:rPr>
                <w:rFonts w:ascii="Times New Roman" w:hAnsi="Times New Roman"/>
                <w:sz w:val="24"/>
                <w:szCs w:val="24"/>
              </w:rPr>
              <w:t xml:space="preserve"> </w:t>
            </w:r>
            <w:r w:rsidRPr="003C09B8">
              <w:rPr>
                <w:rFonts w:ascii="Times New Roman" w:hAnsi="Times New Roman"/>
                <w:sz w:val="24"/>
                <w:szCs w:val="24"/>
              </w:rPr>
              <w:t xml:space="preserve">Komisjon ei toeta pakutud lahendust, kus suurem hääleõigus lõpeks aktsia võõrandamise. Suurema hääleõigusega aktsiad moodustavad eraldi aktsialiigi ning aktsiaga seotud õigused tulenevad aktsia liigist, mitte aktsionäri isikust. Ei ole põhjendatud, et sama liiki aktsia saaks anda ühe omaniku käes suurema hääleõiguse, kuid kaotada </w:t>
            </w:r>
            <w:r w:rsidRPr="003C09B8">
              <w:rPr>
                <w:rFonts w:ascii="Times New Roman" w:hAnsi="Times New Roman"/>
                <w:sz w:val="24"/>
                <w:szCs w:val="24"/>
              </w:rPr>
              <w:lastRenderedPageBreak/>
              <w:t>selle teisele isikule võõrandamisel, ilma et muutuks aktsia liik või aktsiaseltsi põhikiri. Regulatsioon peab võimaldama ka aktsiaraamatus ja väärtpaberiregistris üheselt kindlaks teha, millise hääleõigusega konkreetne aktsia on. Seega soovitame jätta üleandmispõhine aegumisklausel kehtestamata.</w:t>
            </w:r>
          </w:p>
        </w:tc>
        <w:tc>
          <w:tcPr>
            <w:tcW w:w="3402" w:type="dxa"/>
            <w:tcBorders>
              <w:top w:val="single" w:sz="4" w:space="0" w:color="auto"/>
              <w:left w:val="single" w:sz="4" w:space="0" w:color="auto"/>
              <w:bottom w:val="single" w:sz="4" w:space="0" w:color="auto"/>
              <w:right w:val="single" w:sz="4" w:space="0" w:color="auto"/>
            </w:tcBorders>
          </w:tcPr>
          <w:p w14:paraId="7EAFF5C3" w14:textId="77777777" w:rsidR="00D359D6" w:rsidRPr="003C09B8" w:rsidRDefault="00D359D6" w:rsidP="00E2664A">
            <w:pPr>
              <w:jc w:val="both"/>
              <w:rPr>
                <w:rFonts w:ascii="Times New Roman" w:hAnsi="Times New Roman"/>
                <w:sz w:val="24"/>
                <w:szCs w:val="24"/>
              </w:rPr>
            </w:pPr>
            <w:r w:rsidRPr="003C09B8">
              <w:rPr>
                <w:rFonts w:ascii="Times New Roman" w:hAnsi="Times New Roman"/>
                <w:sz w:val="24"/>
                <w:szCs w:val="24"/>
              </w:rPr>
              <w:lastRenderedPageBreak/>
              <w:t xml:space="preserve">Eelnõu on täiendatud selliselt, et väärtpaberite registrist nähtub selgelt, kui suurema hääleõigusega aktsia võõrandamisel hääleõigus muutub: viide suuremale hääleõigusele lisatakse sarnaselt eelisaktsiale juba aktsia nimetusse; sellise aktsia võõrandamisel, millega kaasneb suurema hääleõiguse lõppemine, muutub automaatselt ka aktsia liik (aluse annab aktsiaseltsi põhikiri); vastav muudatus tuleb </w:t>
            </w:r>
            <w:r w:rsidRPr="003C09B8">
              <w:rPr>
                <w:rFonts w:ascii="Times New Roman" w:hAnsi="Times New Roman"/>
                <w:sz w:val="24"/>
                <w:szCs w:val="24"/>
              </w:rPr>
              <w:lastRenderedPageBreak/>
              <w:t>emitendi taotlusel ka väärtpaberite registrisse kanda.</w:t>
            </w:r>
          </w:p>
        </w:tc>
      </w:tr>
    </w:tbl>
    <w:p w14:paraId="68E66989" w14:textId="77777777" w:rsidR="00D359D6" w:rsidRDefault="00D359D6" w:rsidP="00D359D6"/>
    <w:p w14:paraId="6A6BA866" w14:textId="77777777" w:rsidR="00D359D6" w:rsidRPr="009F365C" w:rsidRDefault="00D359D6" w:rsidP="00D359D6">
      <w:pPr>
        <w:spacing w:after="0" w:line="240" w:lineRule="auto"/>
        <w:jc w:val="both"/>
        <w:rPr>
          <w:rFonts w:ascii="Times New Roman" w:hAnsi="Times New Roman" w:cs="Times New Roman"/>
          <w:szCs w:val="24"/>
        </w:rPr>
      </w:pPr>
    </w:p>
    <w:p w14:paraId="31607F38" w14:textId="77777777" w:rsidR="006B5646" w:rsidRDefault="006B5646"/>
    <w:sectPr w:rsidR="006B5646" w:rsidSect="00D359D6">
      <w:footerReference w:type="default" r:id="rId6"/>
      <w:footerReference w:type="first" r:id="rId7"/>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6A397" w14:textId="77777777" w:rsidR="00AB0A91" w:rsidRDefault="00AB0A91">
      <w:pPr>
        <w:spacing w:after="0" w:line="240" w:lineRule="auto"/>
      </w:pPr>
      <w:r>
        <w:separator/>
      </w:r>
    </w:p>
  </w:endnote>
  <w:endnote w:type="continuationSeparator" w:id="0">
    <w:p w14:paraId="67BA68E0" w14:textId="77777777" w:rsidR="00AB0A91" w:rsidRDefault="00AB0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84605" w14:textId="77777777" w:rsidR="00D359D6" w:rsidRDefault="00D359D6" w:rsidP="7457CF54">
    <w:pPr>
      <w:jc w:val="center"/>
      <w:rPr>
        <w:rFonts w:ascii="Times New Roman" w:hAnsi="Times New Roman" w:cs="Times New Roman"/>
      </w:rPr>
    </w:pPr>
    <w:r w:rsidRPr="00086079">
      <w:rPr>
        <w:rFonts w:ascii="Times New Roman" w:hAnsi="Times New Roman" w:cs="Times New Roman"/>
        <w:noProof/>
      </w:rPr>
      <w:fldChar w:fldCharType="begin"/>
    </w:r>
    <w:r w:rsidRPr="00277589">
      <w:instrText>PAGE</w:instrText>
    </w:r>
    <w:r w:rsidRPr="00086079">
      <w:fldChar w:fldCharType="separate"/>
    </w:r>
    <w:r w:rsidRPr="00277589">
      <w:rPr>
        <w:rFonts w:ascii="Times New Roman" w:hAnsi="Times New Roman" w:cs="Times New Roman"/>
        <w:noProof/>
      </w:rPr>
      <w:t>2</w:t>
    </w:r>
    <w:r w:rsidRPr="00086079">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08238117"/>
      <w:docPartObj>
        <w:docPartGallery w:val="Page Numbers (Bottom of Page)"/>
        <w:docPartUnique/>
      </w:docPartObj>
    </w:sdtPr>
    <w:sdtEndPr/>
    <w:sdtContent>
      <w:p w14:paraId="7D760817" w14:textId="77777777" w:rsidR="00D359D6" w:rsidRDefault="00D359D6" w:rsidP="7457CF54">
        <w:pPr>
          <w:pStyle w:val="Jalus"/>
          <w:jc w:val="center"/>
          <w:rPr>
            <w:rFonts w:ascii="Times New Roman" w:hAnsi="Times New Roman" w:cs="Times New Roman"/>
          </w:rPr>
        </w:pPr>
        <w:r w:rsidRPr="00F503C5">
          <w:rPr>
            <w:rFonts w:ascii="Times New Roman" w:hAnsi="Times New Roman" w:cs="Times New Roman"/>
          </w:rPr>
          <w:fldChar w:fldCharType="begin"/>
        </w:r>
        <w:r>
          <w:instrText>PAGE   \* MERGEFORMAT</w:instrText>
        </w:r>
        <w:r w:rsidRPr="00F503C5">
          <w:fldChar w:fldCharType="separate"/>
        </w:r>
        <w:r w:rsidRPr="00F503C5">
          <w:rPr>
            <w:rFonts w:ascii="Times New Roman" w:hAnsi="Times New Roman" w:cs="Times New Roman"/>
          </w:rPr>
          <w:t>2</w:t>
        </w:r>
        <w:r w:rsidRPr="00F503C5">
          <w:rPr>
            <w:rFonts w:ascii="Times New Roman" w:hAnsi="Times New Roman" w:cs="Times New Roman"/>
          </w:rPr>
          <w:fldChar w:fldCharType="end"/>
        </w:r>
      </w:p>
    </w:sdtContent>
  </w:sdt>
  <w:p w14:paraId="3421637A" w14:textId="77777777" w:rsidR="00D359D6" w:rsidRDefault="00D359D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B5FE" w14:textId="77777777" w:rsidR="00AB0A91" w:rsidRDefault="00AB0A91">
      <w:pPr>
        <w:spacing w:after="0" w:line="240" w:lineRule="auto"/>
      </w:pPr>
      <w:r>
        <w:separator/>
      </w:r>
    </w:p>
  </w:footnote>
  <w:footnote w:type="continuationSeparator" w:id="0">
    <w:p w14:paraId="6CAD96DB" w14:textId="77777777" w:rsidR="00AB0A91" w:rsidRDefault="00AB0A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D6"/>
    <w:rsid w:val="00475898"/>
    <w:rsid w:val="004A5CEE"/>
    <w:rsid w:val="006B5646"/>
    <w:rsid w:val="00A91FDC"/>
    <w:rsid w:val="00AB0A91"/>
    <w:rsid w:val="00D359D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93A01"/>
  <w15:chartTrackingRefBased/>
  <w15:docId w15:val="{B0A48E2A-2676-4AA8-A8AA-D70241381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359D6"/>
    <w:rPr>
      <w:rFonts w:ascii="Roboto" w:eastAsia="Times New Roman" w:hAnsi="Roboto" w:cs="Roboto"/>
      <w:kern w:val="0"/>
      <w:szCs w:val="20"/>
      <w:lang w:eastAsia="et-EE"/>
      <w14:ligatures w14:val="none"/>
    </w:rPr>
  </w:style>
  <w:style w:type="paragraph" w:styleId="Pealkiri1">
    <w:name w:val="heading 1"/>
    <w:basedOn w:val="Normaallaad"/>
    <w:next w:val="Normaallaad"/>
    <w:link w:val="Pealkiri1Mrk"/>
    <w:uiPriority w:val="9"/>
    <w:qFormat/>
    <w:rsid w:val="00D359D6"/>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Pealkiri2">
    <w:name w:val="heading 2"/>
    <w:basedOn w:val="Normaallaad"/>
    <w:next w:val="Normaallaad"/>
    <w:link w:val="Pealkiri2Mrk"/>
    <w:uiPriority w:val="9"/>
    <w:semiHidden/>
    <w:unhideWhenUsed/>
    <w:qFormat/>
    <w:rsid w:val="00D359D6"/>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Pealkiri3">
    <w:name w:val="heading 3"/>
    <w:basedOn w:val="Normaallaad"/>
    <w:next w:val="Normaallaad"/>
    <w:link w:val="Pealkiri3Mrk"/>
    <w:uiPriority w:val="9"/>
    <w:semiHidden/>
    <w:unhideWhenUsed/>
    <w:qFormat/>
    <w:rsid w:val="00D359D6"/>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Pealkiri4">
    <w:name w:val="heading 4"/>
    <w:basedOn w:val="Normaallaad"/>
    <w:next w:val="Normaallaad"/>
    <w:link w:val="Pealkiri4Mrk"/>
    <w:uiPriority w:val="9"/>
    <w:semiHidden/>
    <w:unhideWhenUsed/>
    <w:qFormat/>
    <w:rsid w:val="00D359D6"/>
    <w:pPr>
      <w:keepNext/>
      <w:keepLines/>
      <w:spacing w:before="80" w:after="40"/>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Pealkiri5">
    <w:name w:val="heading 5"/>
    <w:basedOn w:val="Normaallaad"/>
    <w:next w:val="Normaallaad"/>
    <w:link w:val="Pealkiri5Mrk"/>
    <w:uiPriority w:val="9"/>
    <w:semiHidden/>
    <w:unhideWhenUsed/>
    <w:qFormat/>
    <w:rsid w:val="00D359D6"/>
    <w:pPr>
      <w:keepNext/>
      <w:keepLines/>
      <w:spacing w:before="80" w:after="40"/>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Pealkiri6">
    <w:name w:val="heading 6"/>
    <w:basedOn w:val="Normaallaad"/>
    <w:next w:val="Normaallaad"/>
    <w:link w:val="Pealkiri6Mrk"/>
    <w:uiPriority w:val="9"/>
    <w:semiHidden/>
    <w:unhideWhenUsed/>
    <w:qFormat/>
    <w:rsid w:val="00D359D6"/>
    <w:pPr>
      <w:keepNext/>
      <w:keepLines/>
      <w:spacing w:before="40" w:after="0"/>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Pealkiri7">
    <w:name w:val="heading 7"/>
    <w:basedOn w:val="Normaallaad"/>
    <w:next w:val="Normaallaad"/>
    <w:link w:val="Pealkiri7Mrk"/>
    <w:uiPriority w:val="9"/>
    <w:semiHidden/>
    <w:unhideWhenUsed/>
    <w:qFormat/>
    <w:rsid w:val="00D359D6"/>
    <w:pPr>
      <w:keepNext/>
      <w:keepLines/>
      <w:spacing w:before="40" w:after="0"/>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Pealkiri8">
    <w:name w:val="heading 8"/>
    <w:basedOn w:val="Normaallaad"/>
    <w:next w:val="Normaallaad"/>
    <w:link w:val="Pealkiri8Mrk"/>
    <w:uiPriority w:val="9"/>
    <w:semiHidden/>
    <w:unhideWhenUsed/>
    <w:qFormat/>
    <w:rsid w:val="00D359D6"/>
    <w:pPr>
      <w:keepNext/>
      <w:keepLines/>
      <w:spacing w:after="0"/>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Pealkiri9">
    <w:name w:val="heading 9"/>
    <w:basedOn w:val="Normaallaad"/>
    <w:next w:val="Normaallaad"/>
    <w:link w:val="Pealkiri9Mrk"/>
    <w:uiPriority w:val="9"/>
    <w:semiHidden/>
    <w:unhideWhenUsed/>
    <w:qFormat/>
    <w:rsid w:val="00D359D6"/>
    <w:pPr>
      <w:keepNext/>
      <w:keepLines/>
      <w:spacing w:after="0"/>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359D6"/>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359D6"/>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359D6"/>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359D6"/>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359D6"/>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359D6"/>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359D6"/>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359D6"/>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359D6"/>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359D6"/>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ealkiriMrk">
    <w:name w:val="Pealkiri Märk"/>
    <w:basedOn w:val="Liguvaikefont"/>
    <w:link w:val="Pealkiri"/>
    <w:uiPriority w:val="10"/>
    <w:rsid w:val="00D359D6"/>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359D6"/>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pealkiriMrk">
    <w:name w:val="Alapealkiri Märk"/>
    <w:basedOn w:val="Liguvaikefont"/>
    <w:link w:val="Alapealkiri"/>
    <w:uiPriority w:val="11"/>
    <w:rsid w:val="00D359D6"/>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359D6"/>
    <w:pPr>
      <w:spacing w:before="160"/>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TsitaatMrk">
    <w:name w:val="Tsitaat Märk"/>
    <w:basedOn w:val="Liguvaikefont"/>
    <w:link w:val="Tsitaat"/>
    <w:uiPriority w:val="29"/>
    <w:rsid w:val="00D359D6"/>
    <w:rPr>
      <w:i/>
      <w:iCs/>
      <w:color w:val="404040" w:themeColor="text1" w:themeTint="BF"/>
    </w:rPr>
  </w:style>
  <w:style w:type="paragraph" w:styleId="Loendilik">
    <w:name w:val="List Paragraph"/>
    <w:basedOn w:val="Normaallaad"/>
    <w:uiPriority w:val="34"/>
    <w:qFormat/>
    <w:rsid w:val="00D359D6"/>
    <w:pPr>
      <w:ind w:left="720"/>
      <w:contextualSpacing/>
    </w:pPr>
    <w:rPr>
      <w:rFonts w:asciiTheme="minorHAnsi" w:eastAsiaTheme="minorHAnsi" w:hAnsiTheme="minorHAnsi" w:cstheme="minorBidi"/>
      <w:kern w:val="2"/>
      <w:szCs w:val="24"/>
      <w:lang w:eastAsia="en-US"/>
      <w14:ligatures w14:val="standardContextual"/>
    </w:rPr>
  </w:style>
  <w:style w:type="character" w:styleId="Selgeltmrgatavrhutus">
    <w:name w:val="Intense Emphasis"/>
    <w:basedOn w:val="Liguvaikefont"/>
    <w:uiPriority w:val="21"/>
    <w:qFormat/>
    <w:rsid w:val="00D359D6"/>
    <w:rPr>
      <w:i/>
      <w:iCs/>
      <w:color w:val="0F4761" w:themeColor="accent1" w:themeShade="BF"/>
    </w:rPr>
  </w:style>
  <w:style w:type="paragraph" w:styleId="Selgeltmrgatavtsitaat">
    <w:name w:val="Intense Quote"/>
    <w:basedOn w:val="Normaallaad"/>
    <w:next w:val="Normaallaad"/>
    <w:link w:val="SelgeltmrgatavtsitaatMrk"/>
    <w:uiPriority w:val="30"/>
    <w:qFormat/>
    <w:rsid w:val="00D359D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SelgeltmrgatavtsitaatMrk">
    <w:name w:val="Selgelt märgatav tsitaat Märk"/>
    <w:basedOn w:val="Liguvaikefont"/>
    <w:link w:val="Selgeltmrgatavtsitaat"/>
    <w:uiPriority w:val="30"/>
    <w:rsid w:val="00D359D6"/>
    <w:rPr>
      <w:i/>
      <w:iCs/>
      <w:color w:val="0F4761" w:themeColor="accent1" w:themeShade="BF"/>
    </w:rPr>
  </w:style>
  <w:style w:type="character" w:styleId="Selgeltmrgatavviide">
    <w:name w:val="Intense Reference"/>
    <w:basedOn w:val="Liguvaikefont"/>
    <w:uiPriority w:val="32"/>
    <w:qFormat/>
    <w:rsid w:val="00D359D6"/>
    <w:rPr>
      <w:b/>
      <w:bCs/>
      <w:smallCaps/>
      <w:color w:val="0F4761" w:themeColor="accent1" w:themeShade="BF"/>
      <w:spacing w:val="5"/>
    </w:rPr>
  </w:style>
  <w:style w:type="table" w:styleId="Kontuurtabel">
    <w:name w:val="Table Grid"/>
    <w:basedOn w:val="Normaaltabel"/>
    <w:uiPriority w:val="39"/>
    <w:rsid w:val="00D359D6"/>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alus">
    <w:name w:val="footer"/>
    <w:basedOn w:val="Normaallaad"/>
    <w:link w:val="JalusMrk"/>
    <w:uiPriority w:val="99"/>
    <w:unhideWhenUsed/>
    <w:rsid w:val="00D359D6"/>
    <w:pPr>
      <w:tabs>
        <w:tab w:val="center" w:pos="4680"/>
        <w:tab w:val="right" w:pos="9360"/>
      </w:tabs>
      <w:spacing w:after="0" w:line="240" w:lineRule="auto"/>
    </w:pPr>
  </w:style>
  <w:style w:type="character" w:customStyle="1" w:styleId="JalusMrk">
    <w:name w:val="Jalus Märk"/>
    <w:basedOn w:val="Liguvaikefont"/>
    <w:link w:val="Jalus"/>
    <w:uiPriority w:val="99"/>
    <w:rsid w:val="00D359D6"/>
    <w:rPr>
      <w:rFonts w:ascii="Roboto" w:eastAsia="Times New Roman" w:hAnsi="Roboto" w:cs="Roboto"/>
      <w:kern w:val="0"/>
      <w:szCs w:val="2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1A6887A6-2CDA-4133-A149-F5AD656C0FA1}"/>
</file>

<file path=customXml/itemProps2.xml><?xml version="1.0" encoding="utf-8"?>
<ds:datastoreItem xmlns:ds="http://schemas.openxmlformats.org/officeDocument/2006/customXml" ds:itemID="{493B133A-1530-469F-A7F6-A1A278F9C1C6}"/>
</file>

<file path=customXml/itemProps3.xml><?xml version="1.0" encoding="utf-8"?>
<ds:datastoreItem xmlns:ds="http://schemas.openxmlformats.org/officeDocument/2006/customXml" ds:itemID="{7FBED169-CDB9-4E8E-A454-0E718E82CDA3}"/>
</file>

<file path=docProps/app.xml><?xml version="1.0" encoding="utf-8"?>
<Properties xmlns="http://schemas.openxmlformats.org/officeDocument/2006/extended-properties" xmlns:vt="http://schemas.openxmlformats.org/officeDocument/2006/docPropsVTypes">
  <Template>Normal</Template>
  <TotalTime>2</TotalTime>
  <Pages>4</Pages>
  <Words>1132</Words>
  <Characters>6571</Characters>
  <Application>Microsoft Office Word</Application>
  <DocSecurity>0</DocSecurity>
  <Lines>54</Lines>
  <Paragraphs>15</Paragraphs>
  <ScaleCrop>false</ScaleCrop>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Merje Vessmann - RK</dc:creator>
  <cp:keywords/>
  <dc:description/>
  <cp:lastModifiedBy>Merje Vessmann - RK</cp:lastModifiedBy>
  <cp:revision>2</cp:revision>
  <dcterms:created xsi:type="dcterms:W3CDTF">2026-11-04T08:37:00Z</dcterms:created>
  <dcterms:modified xsi:type="dcterms:W3CDTF">2026-11-04T08:46:00Z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2026-11-04T08:38:02Z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4cfd61f2-79c7-4727-81bd-eb4be3401bfb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